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4834D0" w:rsidP="00E30500">
      <w:pPr>
        <w:bidi/>
        <w:jc w:val="center"/>
        <w:rPr>
          <w:rtl/>
          <w:lang w:bidi="fa-IR"/>
        </w:rPr>
      </w:pPr>
      <w:r>
        <w:rPr>
          <w:rFonts w:hint="cs"/>
          <w:rtl/>
          <w:lang w:bidi="fa-IR"/>
        </w:rPr>
        <w:t>خارج اصول26</w:t>
      </w:r>
    </w:p>
    <w:p w:rsidR="004834D0" w:rsidRDefault="004834D0" w:rsidP="00E30500">
      <w:pPr>
        <w:bidi/>
        <w:jc w:val="center"/>
        <w:rPr>
          <w:rtl/>
          <w:lang w:bidi="fa-IR"/>
        </w:rPr>
      </w:pPr>
      <w:r>
        <w:rPr>
          <w:rFonts w:hint="cs"/>
          <w:rtl/>
          <w:lang w:bidi="fa-IR"/>
        </w:rPr>
        <w:t>چهارشنبه 22/ 8/ 98</w:t>
      </w:r>
    </w:p>
    <w:p w:rsidR="004834D0" w:rsidRPr="00E30500" w:rsidRDefault="004834D0" w:rsidP="00E30500">
      <w:pPr>
        <w:pBdr>
          <w:bottom w:val="single" w:sz="12" w:space="1" w:color="auto"/>
        </w:pBdr>
        <w:bidi/>
        <w:jc w:val="center"/>
        <w:rPr>
          <w:color w:val="FF0000"/>
          <w:rtl/>
          <w:lang w:bidi="fa-IR"/>
        </w:rPr>
      </w:pPr>
      <w:r w:rsidRPr="00E30500">
        <w:rPr>
          <w:rFonts w:hint="cs"/>
          <w:color w:val="FF0000"/>
          <w:rtl/>
          <w:lang w:bidi="fa-IR"/>
        </w:rPr>
        <w:t>*اقسام واجب*</w:t>
      </w:r>
    </w:p>
    <w:p w:rsidR="00C06482" w:rsidRDefault="00AC31FE" w:rsidP="00237EAD">
      <w:pPr>
        <w:bidi/>
        <w:rPr>
          <w:rtl/>
          <w:lang w:bidi="fa-IR"/>
        </w:rPr>
      </w:pPr>
      <w:r>
        <w:rPr>
          <w:rFonts w:hint="cs"/>
          <w:rtl/>
          <w:lang w:bidi="fa-IR"/>
        </w:rPr>
        <w:t>قدتلخ</w:t>
      </w:r>
      <w:r w:rsidR="00237EAD">
        <w:rPr>
          <w:rFonts w:hint="cs"/>
          <w:rtl/>
          <w:lang w:bidi="fa-IR"/>
        </w:rPr>
        <w:t>ّ</w:t>
      </w:r>
      <w:r>
        <w:rPr>
          <w:rFonts w:hint="cs"/>
          <w:rtl/>
          <w:lang w:bidi="fa-IR"/>
        </w:rPr>
        <w:t>ص مم</w:t>
      </w:r>
      <w:r w:rsidR="00237EAD">
        <w:rPr>
          <w:rFonts w:hint="cs"/>
          <w:rtl/>
          <w:lang w:bidi="fa-IR"/>
        </w:rPr>
        <w:t>ّ</w:t>
      </w:r>
      <w:r>
        <w:rPr>
          <w:rFonts w:hint="cs"/>
          <w:rtl/>
          <w:lang w:bidi="fa-IR"/>
        </w:rPr>
        <w:t>ا ذکرنا در دوران امر بین رجوع به هیئت یا ماد</w:t>
      </w:r>
      <w:r w:rsidR="00237EAD">
        <w:rPr>
          <w:rFonts w:hint="cs"/>
          <w:rtl/>
          <w:lang w:bidi="fa-IR"/>
        </w:rPr>
        <w:t>ّ</w:t>
      </w:r>
      <w:r>
        <w:rPr>
          <w:rFonts w:hint="cs"/>
          <w:rtl/>
          <w:lang w:bidi="fa-IR"/>
        </w:rPr>
        <w:t>ه، در هر دو</w:t>
      </w:r>
      <w:r w:rsidR="00237EAD">
        <w:rPr>
          <w:rFonts w:hint="cs"/>
          <w:rtl/>
          <w:lang w:bidi="fa-IR"/>
        </w:rPr>
        <w:t xml:space="preserve"> صورت تعارض و تساقط حاصل می شود و </w:t>
      </w:r>
      <w:r w:rsidR="00C06482">
        <w:rPr>
          <w:rFonts w:hint="cs"/>
          <w:rtl/>
          <w:lang w:bidi="fa-IR"/>
        </w:rPr>
        <w:t>اطلاق شمولی بر بدلی تقد</w:t>
      </w:r>
      <w:r w:rsidR="00237EAD">
        <w:rPr>
          <w:rFonts w:hint="cs"/>
          <w:rtl/>
          <w:lang w:bidi="fa-IR"/>
        </w:rPr>
        <w:t>ّ</w:t>
      </w:r>
      <w:r w:rsidR="00C06482">
        <w:rPr>
          <w:rFonts w:hint="cs"/>
          <w:rtl/>
          <w:lang w:bidi="fa-IR"/>
        </w:rPr>
        <w:t>م ندارد زیرا هر دو محصول مقد</w:t>
      </w:r>
      <w:r w:rsidR="00237EAD">
        <w:rPr>
          <w:rFonts w:hint="cs"/>
          <w:rtl/>
          <w:lang w:bidi="fa-IR"/>
        </w:rPr>
        <w:t>ّ</w:t>
      </w:r>
      <w:r w:rsidR="00C06482">
        <w:rPr>
          <w:rFonts w:hint="cs"/>
          <w:rtl/>
          <w:lang w:bidi="fa-IR"/>
        </w:rPr>
        <w:t>مات حکمت اند و با هم مساوی اند.</w:t>
      </w:r>
      <w:r w:rsidR="00900730">
        <w:rPr>
          <w:rFonts w:hint="cs"/>
          <w:rtl/>
          <w:lang w:bidi="fa-IR"/>
        </w:rPr>
        <w:t xml:space="preserve"> و</w:t>
      </w:r>
      <w:r w:rsidR="00C06482">
        <w:rPr>
          <w:rFonts w:hint="cs"/>
          <w:rtl/>
          <w:lang w:bidi="fa-IR"/>
        </w:rPr>
        <w:t xml:space="preserve"> تحلیلات عقلی موضوع دیگری است.</w:t>
      </w:r>
    </w:p>
    <w:p w:rsidR="00C06482" w:rsidRPr="00900730" w:rsidRDefault="00C06482" w:rsidP="00C076E3">
      <w:pPr>
        <w:bidi/>
        <w:rPr>
          <w:color w:val="0070C0"/>
          <w:rtl/>
          <w:lang w:bidi="fa-IR"/>
        </w:rPr>
      </w:pPr>
      <w:r w:rsidRPr="00900730">
        <w:rPr>
          <w:rFonts w:hint="cs"/>
          <w:color w:val="0070C0"/>
          <w:rtl/>
          <w:lang w:bidi="fa-IR"/>
        </w:rPr>
        <w:t>سؤال</w:t>
      </w:r>
    </w:p>
    <w:p w:rsidR="00C06482" w:rsidRDefault="00C06482" w:rsidP="00900730">
      <w:pPr>
        <w:bidi/>
        <w:rPr>
          <w:rtl/>
          <w:lang w:bidi="fa-IR"/>
        </w:rPr>
      </w:pPr>
      <w:r>
        <w:rPr>
          <w:rFonts w:hint="cs"/>
          <w:rtl/>
          <w:lang w:bidi="fa-IR"/>
        </w:rPr>
        <w:t>آیا تصو</w:t>
      </w:r>
      <w:r w:rsidR="00E30500">
        <w:rPr>
          <w:rFonts w:hint="cs"/>
          <w:rtl/>
          <w:lang w:bidi="fa-IR"/>
        </w:rPr>
        <w:t>ّ</w:t>
      </w:r>
      <w:r>
        <w:rPr>
          <w:rFonts w:hint="cs"/>
          <w:rtl/>
          <w:lang w:bidi="fa-IR"/>
        </w:rPr>
        <w:t>ر دارد</w:t>
      </w:r>
      <w:r w:rsidR="00900730">
        <w:rPr>
          <w:rFonts w:hint="cs"/>
          <w:rtl/>
          <w:lang w:bidi="fa-IR"/>
        </w:rPr>
        <w:t xml:space="preserve"> در</w:t>
      </w:r>
      <w:r>
        <w:rPr>
          <w:rFonts w:hint="cs"/>
          <w:rtl/>
          <w:lang w:bidi="fa-IR"/>
        </w:rPr>
        <w:t xml:space="preserve"> موردی تعارض منجر</w:t>
      </w:r>
      <w:r w:rsidR="00900730">
        <w:rPr>
          <w:rFonts w:hint="cs"/>
          <w:rtl/>
          <w:lang w:bidi="fa-IR"/>
        </w:rPr>
        <w:t>ّ</w:t>
      </w:r>
      <w:r>
        <w:rPr>
          <w:rFonts w:hint="cs"/>
          <w:rtl/>
          <w:lang w:bidi="fa-IR"/>
        </w:rPr>
        <w:t xml:space="preserve"> به تساقط نشود و بشکلی تعارض را رفع کنیم و حرف شیخ</w:t>
      </w:r>
      <w:r w:rsidR="00900730">
        <w:rPr>
          <w:rFonts w:hint="cs"/>
          <w:rtl/>
          <w:lang w:bidi="fa-IR"/>
        </w:rPr>
        <w:t xml:space="preserve"> انصاری</w:t>
      </w:r>
      <w:r>
        <w:rPr>
          <w:rFonts w:hint="cs"/>
          <w:rtl/>
          <w:lang w:bidi="fa-IR"/>
        </w:rPr>
        <w:t xml:space="preserve"> و </w:t>
      </w:r>
      <w:r w:rsidR="00900730">
        <w:rPr>
          <w:rFonts w:hint="cs"/>
          <w:rtl/>
          <w:lang w:bidi="fa-IR"/>
        </w:rPr>
        <w:t xml:space="preserve">محقّق </w:t>
      </w:r>
      <w:r>
        <w:rPr>
          <w:rFonts w:hint="cs"/>
          <w:rtl/>
          <w:lang w:bidi="fa-IR"/>
        </w:rPr>
        <w:t>نائینی</w:t>
      </w:r>
      <w:r w:rsidR="00900730">
        <w:rPr>
          <w:rFonts w:hint="cs"/>
          <w:rtl/>
          <w:lang w:bidi="fa-IR"/>
        </w:rPr>
        <w:t xml:space="preserve"> اثبات شود البته نه بشکلی که این دو محق</w:t>
      </w:r>
      <w:r w:rsidR="00E30500">
        <w:rPr>
          <w:rFonts w:hint="cs"/>
          <w:rtl/>
          <w:lang w:bidi="fa-IR"/>
        </w:rPr>
        <w:t>ّ</w:t>
      </w:r>
      <w:r w:rsidR="00900730">
        <w:rPr>
          <w:rFonts w:hint="cs"/>
          <w:rtl/>
          <w:lang w:bidi="fa-IR"/>
        </w:rPr>
        <w:t>ق فرمودند بلکه بشکل دیگری.</w:t>
      </w:r>
    </w:p>
    <w:p w:rsidR="00C06482" w:rsidRDefault="00900730" w:rsidP="00C076E3">
      <w:pPr>
        <w:bidi/>
        <w:rPr>
          <w:rtl/>
          <w:lang w:bidi="fa-IR"/>
        </w:rPr>
      </w:pPr>
      <w:r>
        <w:rPr>
          <w:rFonts w:hint="cs"/>
          <w:rtl/>
          <w:lang w:bidi="fa-IR"/>
        </w:rPr>
        <w:t>(</w:t>
      </w:r>
      <w:r w:rsidR="00C06482">
        <w:rPr>
          <w:rFonts w:hint="cs"/>
          <w:rtl/>
          <w:lang w:bidi="fa-IR"/>
        </w:rPr>
        <w:t>شهید صدر در بحوث ج2</w:t>
      </w:r>
    </w:p>
    <w:p w:rsidR="00C06482" w:rsidRDefault="00C06482" w:rsidP="00C076E3">
      <w:pPr>
        <w:bidi/>
        <w:rPr>
          <w:rtl/>
          <w:lang w:bidi="fa-IR"/>
        </w:rPr>
      </w:pPr>
      <w:r>
        <w:rPr>
          <w:rFonts w:hint="cs"/>
          <w:rtl/>
          <w:lang w:bidi="fa-IR"/>
        </w:rPr>
        <w:t>چون علم اجمالی داریم به تقی</w:t>
      </w:r>
      <w:r w:rsidR="00900730">
        <w:rPr>
          <w:rFonts w:hint="cs"/>
          <w:rtl/>
          <w:lang w:bidi="fa-IR"/>
        </w:rPr>
        <w:t>ّ</w:t>
      </w:r>
      <w:r>
        <w:rPr>
          <w:rFonts w:hint="cs"/>
          <w:rtl/>
          <w:lang w:bidi="fa-IR"/>
        </w:rPr>
        <w:t>د یکی از هیئت و ماد</w:t>
      </w:r>
      <w:r w:rsidR="00900730">
        <w:rPr>
          <w:rFonts w:hint="cs"/>
          <w:rtl/>
          <w:lang w:bidi="fa-IR"/>
        </w:rPr>
        <w:t>ّ</w:t>
      </w:r>
      <w:r>
        <w:rPr>
          <w:rFonts w:hint="cs"/>
          <w:rtl/>
          <w:lang w:bidi="fa-IR"/>
        </w:rPr>
        <w:t>ه، در صورتی تعارض و تساقط می کنند که این علم اجمالی منحل</w:t>
      </w:r>
      <w:r w:rsidR="00900730">
        <w:rPr>
          <w:rFonts w:hint="cs"/>
          <w:rtl/>
          <w:lang w:bidi="fa-IR"/>
        </w:rPr>
        <w:t>ّ</w:t>
      </w:r>
      <w:r>
        <w:rPr>
          <w:rFonts w:hint="cs"/>
          <w:rtl/>
          <w:lang w:bidi="fa-IR"/>
        </w:rPr>
        <w:t xml:space="preserve"> نشود</w:t>
      </w:r>
      <w:r w:rsidR="00C076E3">
        <w:rPr>
          <w:rFonts w:hint="cs"/>
          <w:rtl/>
          <w:lang w:bidi="fa-IR"/>
        </w:rPr>
        <w:t>)</w:t>
      </w:r>
    </w:p>
    <w:p w:rsidR="00C06482" w:rsidRPr="00900730" w:rsidRDefault="00C06482" w:rsidP="00C076E3">
      <w:pPr>
        <w:bidi/>
        <w:rPr>
          <w:color w:val="0070C0"/>
          <w:rtl/>
          <w:lang w:bidi="fa-IR"/>
        </w:rPr>
      </w:pPr>
      <w:r w:rsidRPr="00900730">
        <w:rPr>
          <w:rFonts w:hint="cs"/>
          <w:color w:val="0070C0"/>
          <w:rtl/>
          <w:lang w:bidi="fa-IR"/>
        </w:rPr>
        <w:t>جواب</w:t>
      </w:r>
    </w:p>
    <w:p w:rsidR="00C06482" w:rsidRDefault="00780A8D" w:rsidP="00C076E3">
      <w:pPr>
        <w:bidi/>
        <w:rPr>
          <w:rtl/>
          <w:lang w:bidi="fa-IR"/>
        </w:rPr>
      </w:pPr>
      <w:r>
        <w:rPr>
          <w:rFonts w:hint="cs"/>
          <w:rtl/>
          <w:lang w:bidi="fa-IR"/>
        </w:rPr>
        <w:t xml:space="preserve">(در مانحن فیه </w:t>
      </w:r>
      <w:r w:rsidR="00C06482">
        <w:rPr>
          <w:rFonts w:hint="cs"/>
          <w:rtl/>
          <w:lang w:bidi="fa-IR"/>
        </w:rPr>
        <w:t>در صورتی که علم اجمالی منحل شود</w:t>
      </w:r>
      <w:r w:rsidR="00E30500">
        <w:rPr>
          <w:rFonts w:hint="cs"/>
          <w:rtl/>
          <w:lang w:bidi="fa-IR"/>
        </w:rPr>
        <w:t>،</w:t>
      </w:r>
      <w:r w:rsidR="00C06482">
        <w:rPr>
          <w:rFonts w:hint="cs"/>
          <w:rtl/>
          <w:lang w:bidi="fa-IR"/>
        </w:rPr>
        <w:t xml:space="preserve"> نظریه ی شیخ</w:t>
      </w:r>
      <w:r w:rsidR="00E30500">
        <w:rPr>
          <w:rFonts w:hint="cs"/>
          <w:rtl/>
          <w:lang w:bidi="fa-IR"/>
        </w:rPr>
        <w:t xml:space="preserve"> اعظم</w:t>
      </w:r>
      <w:r w:rsidR="00C06482">
        <w:rPr>
          <w:rFonts w:hint="cs"/>
          <w:rtl/>
          <w:lang w:bidi="fa-IR"/>
        </w:rPr>
        <w:t xml:space="preserve"> و </w:t>
      </w:r>
      <w:r w:rsidR="00E30500">
        <w:rPr>
          <w:rFonts w:hint="cs"/>
          <w:rtl/>
          <w:lang w:bidi="fa-IR"/>
        </w:rPr>
        <w:t xml:space="preserve">محقّق </w:t>
      </w:r>
      <w:r w:rsidR="00C06482">
        <w:rPr>
          <w:rFonts w:hint="cs"/>
          <w:rtl/>
          <w:lang w:bidi="fa-IR"/>
        </w:rPr>
        <w:t xml:space="preserve">نائینی اثبات می شود ولی </w:t>
      </w:r>
      <w:r w:rsidR="00E30500">
        <w:rPr>
          <w:rFonts w:hint="cs"/>
          <w:rtl/>
          <w:lang w:bidi="fa-IR"/>
        </w:rPr>
        <w:t>نه از راهی که آنها فرمودن</w:t>
      </w:r>
      <w:r>
        <w:rPr>
          <w:rFonts w:hint="cs"/>
          <w:rtl/>
          <w:lang w:bidi="fa-IR"/>
        </w:rPr>
        <w:t>د بلکه از راه انحلال علم اجمالی)</w:t>
      </w:r>
    </w:p>
    <w:p w:rsidR="0027461B" w:rsidRDefault="00780A8D" w:rsidP="002740CE">
      <w:pPr>
        <w:bidi/>
        <w:rPr>
          <w:rtl/>
          <w:lang w:bidi="fa-IR"/>
        </w:rPr>
      </w:pPr>
      <w:r>
        <w:rPr>
          <w:rFonts w:hint="cs"/>
          <w:rtl/>
          <w:lang w:bidi="fa-IR"/>
        </w:rPr>
        <w:t xml:space="preserve">مادّه یا </w:t>
      </w:r>
      <w:r w:rsidR="00C06482">
        <w:rPr>
          <w:rFonts w:hint="cs"/>
          <w:rtl/>
          <w:lang w:bidi="fa-IR"/>
        </w:rPr>
        <w:t>واجب علی کل</w:t>
      </w:r>
      <w:r>
        <w:rPr>
          <w:rFonts w:hint="cs"/>
          <w:rtl/>
          <w:lang w:bidi="fa-IR"/>
        </w:rPr>
        <w:t>ّ</w:t>
      </w:r>
      <w:r w:rsidR="00C06482">
        <w:rPr>
          <w:rFonts w:hint="cs"/>
          <w:rtl/>
          <w:lang w:bidi="fa-IR"/>
        </w:rPr>
        <w:t xml:space="preserve"> حال مقی</w:t>
      </w:r>
      <w:r>
        <w:rPr>
          <w:rFonts w:hint="cs"/>
          <w:rtl/>
          <w:lang w:bidi="fa-IR"/>
        </w:rPr>
        <w:t>ّ</w:t>
      </w:r>
      <w:r w:rsidR="00C06482">
        <w:rPr>
          <w:rFonts w:hint="cs"/>
          <w:rtl/>
          <w:lang w:bidi="fa-IR"/>
        </w:rPr>
        <w:t>د می شود</w:t>
      </w:r>
      <w:r w:rsidR="002740CE">
        <w:rPr>
          <w:rFonts w:hint="cs"/>
          <w:rtl/>
          <w:lang w:bidi="fa-IR"/>
        </w:rPr>
        <w:t>،</w:t>
      </w:r>
      <w:r w:rsidR="00C06482">
        <w:rPr>
          <w:rFonts w:hint="cs"/>
          <w:rtl/>
          <w:lang w:bidi="fa-IR"/>
        </w:rPr>
        <w:t xml:space="preserve"> چه با تقیید هیئت و چه با تقیید ماد</w:t>
      </w:r>
      <w:r>
        <w:rPr>
          <w:rFonts w:hint="cs"/>
          <w:rtl/>
          <w:lang w:bidi="fa-IR"/>
        </w:rPr>
        <w:t>ّ</w:t>
      </w:r>
      <w:r w:rsidR="00C06482">
        <w:rPr>
          <w:rFonts w:hint="cs"/>
          <w:rtl/>
          <w:lang w:bidi="fa-IR"/>
        </w:rPr>
        <w:t>ه؛ با تقیید ماد</w:t>
      </w:r>
      <w:r>
        <w:rPr>
          <w:rFonts w:hint="cs"/>
          <w:rtl/>
          <w:lang w:bidi="fa-IR"/>
        </w:rPr>
        <w:t>ّ</w:t>
      </w:r>
      <w:r w:rsidR="00C06482">
        <w:rPr>
          <w:rFonts w:hint="cs"/>
          <w:rtl/>
          <w:lang w:bidi="fa-IR"/>
        </w:rPr>
        <w:t>ه</w:t>
      </w:r>
      <w:r w:rsidR="002740CE">
        <w:rPr>
          <w:rFonts w:hint="cs"/>
          <w:rtl/>
          <w:lang w:bidi="fa-IR"/>
        </w:rPr>
        <w:t>،</w:t>
      </w:r>
      <w:r w:rsidR="00C06482">
        <w:rPr>
          <w:rFonts w:hint="cs"/>
          <w:rtl/>
          <w:lang w:bidi="fa-IR"/>
        </w:rPr>
        <w:t xml:space="preserve"> او</w:t>
      </w:r>
      <w:r>
        <w:rPr>
          <w:rFonts w:hint="cs"/>
          <w:rtl/>
          <w:lang w:bidi="fa-IR"/>
        </w:rPr>
        <w:t>ّ</w:t>
      </w:r>
      <w:r w:rsidR="00C06482">
        <w:rPr>
          <w:rFonts w:hint="cs"/>
          <w:rtl/>
          <w:lang w:bidi="fa-IR"/>
        </w:rPr>
        <w:t>لا</w:t>
      </w:r>
      <w:r>
        <w:rPr>
          <w:rFonts w:hint="cs"/>
          <w:rtl/>
          <w:lang w:bidi="fa-IR"/>
        </w:rPr>
        <w:t>ً</w:t>
      </w:r>
      <w:r w:rsidR="00C06482">
        <w:rPr>
          <w:rFonts w:hint="cs"/>
          <w:rtl/>
          <w:lang w:bidi="fa-IR"/>
        </w:rPr>
        <w:t>وبالذات</w:t>
      </w:r>
      <w:r>
        <w:rPr>
          <w:rFonts w:hint="cs"/>
          <w:rtl/>
          <w:lang w:bidi="fa-IR"/>
        </w:rPr>
        <w:t xml:space="preserve"> مقیّد می شود</w:t>
      </w:r>
      <w:r w:rsidR="00C06482">
        <w:rPr>
          <w:rFonts w:hint="cs"/>
          <w:rtl/>
          <w:lang w:bidi="fa-IR"/>
        </w:rPr>
        <w:t xml:space="preserve"> و با تقیید هیئت</w:t>
      </w:r>
      <w:r w:rsidR="002740CE">
        <w:rPr>
          <w:rFonts w:hint="cs"/>
          <w:rtl/>
          <w:lang w:bidi="fa-IR"/>
        </w:rPr>
        <w:t>،</w:t>
      </w:r>
      <w:r w:rsidR="00C06482">
        <w:rPr>
          <w:rFonts w:hint="cs"/>
          <w:rtl/>
          <w:lang w:bidi="fa-IR"/>
        </w:rPr>
        <w:t xml:space="preserve"> ثانیا</w:t>
      </w:r>
      <w:r>
        <w:rPr>
          <w:rFonts w:hint="cs"/>
          <w:rtl/>
          <w:lang w:bidi="fa-IR"/>
        </w:rPr>
        <w:t>ً</w:t>
      </w:r>
      <w:r w:rsidR="00C06482">
        <w:rPr>
          <w:rFonts w:hint="cs"/>
          <w:rtl/>
          <w:lang w:bidi="fa-IR"/>
        </w:rPr>
        <w:t>وبالعرض</w:t>
      </w:r>
      <w:r>
        <w:rPr>
          <w:rFonts w:hint="cs"/>
          <w:rtl/>
          <w:lang w:bidi="fa-IR"/>
        </w:rPr>
        <w:t xml:space="preserve"> مقیّد می شود</w:t>
      </w:r>
      <w:r w:rsidR="00C06482">
        <w:rPr>
          <w:rFonts w:hint="cs"/>
          <w:rtl/>
          <w:lang w:bidi="fa-IR"/>
        </w:rPr>
        <w:t xml:space="preserve"> </w:t>
      </w:r>
      <w:r w:rsidR="00BD3FDD">
        <w:rPr>
          <w:rFonts w:hint="cs"/>
          <w:rtl/>
          <w:lang w:bidi="fa-IR"/>
        </w:rPr>
        <w:t>زیرا ماد</w:t>
      </w:r>
      <w:r>
        <w:rPr>
          <w:rFonts w:hint="cs"/>
          <w:rtl/>
          <w:lang w:bidi="fa-IR"/>
        </w:rPr>
        <w:t>ّ</w:t>
      </w:r>
      <w:r w:rsidR="00BD3FDD">
        <w:rPr>
          <w:rFonts w:hint="cs"/>
          <w:rtl/>
          <w:lang w:bidi="fa-IR"/>
        </w:rPr>
        <w:t>ه فانی در هیئت است</w:t>
      </w:r>
      <w:r w:rsidR="00C06482">
        <w:rPr>
          <w:rFonts w:hint="cs"/>
          <w:rtl/>
          <w:lang w:bidi="fa-IR"/>
        </w:rPr>
        <w:t>.</w:t>
      </w:r>
      <w:r>
        <w:rPr>
          <w:rFonts w:hint="cs"/>
          <w:rtl/>
          <w:lang w:bidi="fa-IR"/>
        </w:rPr>
        <w:t xml:space="preserve"> لذا به علم تفصیلی می دانیم مادّه مقی</w:t>
      </w:r>
      <w:r w:rsidR="00872791">
        <w:rPr>
          <w:rFonts w:hint="cs"/>
          <w:rtl/>
          <w:lang w:bidi="fa-IR"/>
        </w:rPr>
        <w:t>ّد است پس یقین داریم به تقیّد مادّه و بقاء اطلاق در هیئت.</w:t>
      </w:r>
    </w:p>
    <w:p w:rsidR="00C076E3" w:rsidRDefault="000B6F3F" w:rsidP="0027461B">
      <w:pPr>
        <w:bidi/>
        <w:rPr>
          <w:rtl/>
          <w:lang w:bidi="fa-IR"/>
        </w:rPr>
      </w:pPr>
      <w:r>
        <w:rPr>
          <w:rFonts w:hint="cs"/>
          <w:rtl/>
          <w:lang w:bidi="fa-IR"/>
        </w:rPr>
        <w:t>سپس شهید صدر می فرماید:</w:t>
      </w:r>
      <w:r w:rsidR="00C076E3">
        <w:rPr>
          <w:rFonts w:hint="cs"/>
          <w:rtl/>
          <w:lang w:bidi="fa-IR"/>
        </w:rPr>
        <w:t xml:space="preserve"> تقی</w:t>
      </w:r>
      <w:r w:rsidR="00872791">
        <w:rPr>
          <w:rFonts w:hint="cs"/>
          <w:rtl/>
          <w:lang w:bidi="fa-IR"/>
        </w:rPr>
        <w:t>ّ</w:t>
      </w:r>
      <w:r>
        <w:rPr>
          <w:rFonts w:hint="cs"/>
          <w:rtl/>
          <w:lang w:bidi="fa-IR"/>
        </w:rPr>
        <w:t xml:space="preserve">د دو صورت دارد زیرا </w:t>
      </w:r>
      <w:r w:rsidR="00C076E3">
        <w:rPr>
          <w:rFonts w:hint="cs"/>
          <w:rtl/>
          <w:lang w:bidi="fa-IR"/>
        </w:rPr>
        <w:t>تقی</w:t>
      </w:r>
      <w:r>
        <w:rPr>
          <w:rFonts w:hint="cs"/>
          <w:rtl/>
          <w:lang w:bidi="fa-IR"/>
        </w:rPr>
        <w:t>ّ</w:t>
      </w:r>
      <w:r w:rsidR="00C076E3">
        <w:rPr>
          <w:rFonts w:hint="cs"/>
          <w:rtl/>
          <w:lang w:bidi="fa-IR"/>
        </w:rPr>
        <w:t>د ماد</w:t>
      </w:r>
      <w:r>
        <w:rPr>
          <w:rFonts w:hint="cs"/>
          <w:rtl/>
          <w:lang w:bidi="fa-IR"/>
        </w:rPr>
        <w:t>ّ</w:t>
      </w:r>
      <w:r w:rsidR="00C076E3">
        <w:rPr>
          <w:rFonts w:hint="cs"/>
          <w:rtl/>
          <w:lang w:bidi="fa-IR"/>
        </w:rPr>
        <w:t xml:space="preserve">ه </w:t>
      </w:r>
      <w:r>
        <w:rPr>
          <w:rFonts w:hint="cs"/>
          <w:rtl/>
          <w:lang w:bidi="fa-IR"/>
        </w:rPr>
        <w:t>و</w:t>
      </w:r>
      <w:r w:rsidR="00C076E3">
        <w:rPr>
          <w:rFonts w:hint="cs"/>
          <w:rtl/>
          <w:lang w:bidi="fa-IR"/>
        </w:rPr>
        <w:t xml:space="preserve"> تقید هیئت</w:t>
      </w:r>
      <w:r>
        <w:rPr>
          <w:rFonts w:hint="cs"/>
          <w:rtl/>
          <w:lang w:bidi="fa-IR"/>
        </w:rPr>
        <w:t xml:space="preserve"> یا باهم یکسان هستند</w:t>
      </w:r>
      <w:r w:rsidR="002740CE">
        <w:rPr>
          <w:rFonts w:hint="cs"/>
          <w:rtl/>
          <w:lang w:bidi="fa-IR"/>
        </w:rPr>
        <w:t xml:space="preserve"> یا یکسان نیستند و این</w:t>
      </w:r>
      <w:r w:rsidR="0027461B">
        <w:rPr>
          <w:rFonts w:hint="cs"/>
          <w:rtl/>
          <w:lang w:bidi="fa-IR"/>
        </w:rPr>
        <w:t xml:space="preserve"> </w:t>
      </w:r>
      <w:r w:rsidR="00C076E3">
        <w:rPr>
          <w:rFonts w:hint="cs"/>
          <w:rtl/>
          <w:lang w:bidi="fa-IR"/>
        </w:rPr>
        <w:t>تقید ماد</w:t>
      </w:r>
      <w:r w:rsidR="0027461B">
        <w:rPr>
          <w:rFonts w:hint="cs"/>
          <w:rtl/>
          <w:lang w:bidi="fa-IR"/>
        </w:rPr>
        <w:t>ّ</w:t>
      </w:r>
      <w:r w:rsidR="00C076E3">
        <w:rPr>
          <w:rFonts w:hint="cs"/>
          <w:rtl/>
          <w:lang w:bidi="fa-IR"/>
        </w:rPr>
        <w:t>ه و هیئت به قید سه وجه دارد:</w:t>
      </w:r>
    </w:p>
    <w:p w:rsidR="00C076E3" w:rsidRDefault="0027461B" w:rsidP="0012655D">
      <w:pPr>
        <w:bidi/>
        <w:rPr>
          <w:rtl/>
          <w:lang w:bidi="fa-IR"/>
        </w:rPr>
      </w:pPr>
      <w:r>
        <w:rPr>
          <w:rFonts w:hint="cs"/>
          <w:rtl/>
          <w:lang w:bidi="fa-IR"/>
        </w:rPr>
        <w:t xml:space="preserve">وجه </w:t>
      </w:r>
      <w:r w:rsidR="00C076E3">
        <w:rPr>
          <w:rFonts w:hint="cs"/>
          <w:rtl/>
          <w:lang w:bidi="fa-IR"/>
        </w:rPr>
        <w:t>او</w:t>
      </w:r>
      <w:r>
        <w:rPr>
          <w:rFonts w:hint="cs"/>
          <w:rtl/>
          <w:lang w:bidi="fa-IR"/>
        </w:rPr>
        <w:t>ّ</w:t>
      </w:r>
      <w:r w:rsidR="00C076E3">
        <w:rPr>
          <w:rFonts w:hint="cs"/>
          <w:rtl/>
          <w:lang w:bidi="fa-IR"/>
        </w:rPr>
        <w:t xml:space="preserve">ل: </w:t>
      </w:r>
      <w:r>
        <w:rPr>
          <w:rFonts w:hint="cs"/>
          <w:rtl/>
          <w:lang w:bidi="fa-IR"/>
        </w:rPr>
        <w:t xml:space="preserve">قید، </w:t>
      </w:r>
      <w:r w:rsidR="0012655D">
        <w:rPr>
          <w:rFonts w:hint="cs"/>
          <w:rtl/>
          <w:lang w:bidi="fa-IR"/>
        </w:rPr>
        <w:t>ظرف مقیَّد نیست</w:t>
      </w:r>
      <w:r>
        <w:rPr>
          <w:rFonts w:hint="cs"/>
          <w:rtl/>
          <w:lang w:bidi="fa-IR"/>
        </w:rPr>
        <w:t>؛ مثل تقی</w:t>
      </w:r>
      <w:r w:rsidR="00DD2B39">
        <w:rPr>
          <w:rFonts w:hint="cs"/>
          <w:rtl/>
          <w:lang w:bidi="fa-IR"/>
        </w:rPr>
        <w:t>ّ</w:t>
      </w:r>
      <w:r>
        <w:rPr>
          <w:rFonts w:hint="cs"/>
          <w:rtl/>
          <w:lang w:bidi="fa-IR"/>
        </w:rPr>
        <w:t>د حج</w:t>
      </w:r>
      <w:r w:rsidR="00DD2B39">
        <w:rPr>
          <w:rFonts w:hint="cs"/>
          <w:rtl/>
          <w:lang w:bidi="fa-IR"/>
        </w:rPr>
        <w:t>ّ</w:t>
      </w:r>
      <w:r>
        <w:rPr>
          <w:rFonts w:hint="cs"/>
          <w:rtl/>
          <w:lang w:bidi="fa-IR"/>
        </w:rPr>
        <w:t xml:space="preserve"> به استطاعت.</w:t>
      </w:r>
    </w:p>
    <w:p w:rsidR="003B5F91" w:rsidRDefault="0027461B" w:rsidP="001557EB">
      <w:pPr>
        <w:bidi/>
        <w:rPr>
          <w:rtl/>
          <w:lang w:bidi="fa-IR"/>
        </w:rPr>
      </w:pPr>
      <w:r>
        <w:rPr>
          <w:rFonts w:hint="cs"/>
          <w:rtl/>
          <w:lang w:bidi="fa-IR"/>
        </w:rPr>
        <w:lastRenderedPageBreak/>
        <w:t>وجه دوّم: قید، ظرف برای مقیَّد است؛</w:t>
      </w:r>
      <w:r w:rsidR="0012655D">
        <w:rPr>
          <w:rFonts w:hint="cs"/>
          <w:rtl/>
          <w:lang w:bidi="fa-IR"/>
        </w:rPr>
        <w:t xml:space="preserve"> مثل «تصدّق مع القیام». قیام گاهی حدوثاً و بقاءً شرط صد</w:t>
      </w:r>
      <w:r w:rsidR="001646F2">
        <w:rPr>
          <w:rFonts w:hint="cs"/>
          <w:rtl/>
          <w:lang w:bidi="fa-IR"/>
        </w:rPr>
        <w:t>قه است و گاهی فقط حدوثاً شرط است؛</w:t>
      </w:r>
      <w:r w:rsidR="00C076E3">
        <w:rPr>
          <w:rFonts w:hint="cs"/>
          <w:rtl/>
          <w:lang w:bidi="fa-IR"/>
        </w:rPr>
        <w:t xml:space="preserve"> </w:t>
      </w:r>
      <w:r w:rsidR="001557EB">
        <w:rPr>
          <w:rFonts w:hint="cs"/>
          <w:rtl/>
          <w:lang w:bidi="fa-IR"/>
        </w:rPr>
        <w:t>اگر فقط حدوثاً شرط باشد، ظرف نیست ولی اگر حدوثاً و بقاءً شرط باشد، ظرف است</w:t>
      </w:r>
      <w:r w:rsidR="00C076E3">
        <w:rPr>
          <w:rFonts w:hint="cs"/>
          <w:rtl/>
          <w:lang w:bidi="fa-IR"/>
        </w:rPr>
        <w:t>.</w:t>
      </w:r>
      <w:r w:rsidR="001557EB">
        <w:rPr>
          <w:rFonts w:hint="cs"/>
          <w:rtl/>
          <w:lang w:bidi="fa-IR"/>
        </w:rPr>
        <w:t xml:space="preserve"> اگر تقیّد هیئت و مادّه یکسان باشد یعنی هردو حدوثاً باشد یا هردو حدوثاً و بقاءً باشد،</w:t>
      </w:r>
      <w:r w:rsidR="00DF1223">
        <w:rPr>
          <w:rFonts w:hint="cs"/>
          <w:rtl/>
          <w:lang w:bidi="fa-IR"/>
        </w:rPr>
        <w:t xml:space="preserve"> یقینا</w:t>
      </w:r>
      <w:r w:rsidR="001557EB">
        <w:rPr>
          <w:rFonts w:hint="cs"/>
          <w:rtl/>
          <w:lang w:bidi="fa-IR"/>
        </w:rPr>
        <w:t>ً</w:t>
      </w:r>
      <w:r w:rsidR="00DF1223">
        <w:rPr>
          <w:rFonts w:hint="cs"/>
          <w:rtl/>
          <w:lang w:bidi="fa-IR"/>
        </w:rPr>
        <w:t xml:space="preserve"> علم اجمالی منحل</w:t>
      </w:r>
      <w:r w:rsidR="001557EB">
        <w:rPr>
          <w:rFonts w:hint="cs"/>
          <w:rtl/>
          <w:lang w:bidi="fa-IR"/>
        </w:rPr>
        <w:t>ّ</w:t>
      </w:r>
      <w:r w:rsidR="00DF1223">
        <w:rPr>
          <w:rFonts w:hint="cs"/>
          <w:rtl/>
          <w:lang w:bidi="fa-IR"/>
        </w:rPr>
        <w:t xml:space="preserve"> می شود.</w:t>
      </w:r>
      <w:r w:rsidR="004009FD">
        <w:rPr>
          <w:rStyle w:val="FootnoteReference"/>
          <w:rtl/>
          <w:lang w:bidi="fa-IR"/>
        </w:rPr>
        <w:footnoteReference w:id="1"/>
      </w:r>
    </w:p>
    <w:p w:rsidR="00E30500" w:rsidRPr="00F1212D" w:rsidRDefault="00070E7D" w:rsidP="00F1212D">
      <w:pPr>
        <w:bidi/>
        <w:rPr>
          <w:color w:val="FF0000"/>
          <w:lang w:bidi="fa-IR"/>
        </w:rPr>
      </w:pPr>
      <w:r w:rsidRPr="00F1212D">
        <w:rPr>
          <w:rFonts w:hint="cs"/>
          <w:color w:val="FF0000"/>
          <w:rtl/>
          <w:lang w:bidi="fa-IR"/>
        </w:rPr>
        <w:t>(پایان)</w:t>
      </w:r>
      <w:bookmarkStart w:id="0" w:name="_GoBack"/>
      <w:bookmarkEnd w:id="0"/>
    </w:p>
    <w:sectPr w:rsidR="00E30500" w:rsidRPr="00F1212D" w:rsidSect="004834D0">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28D" w:rsidRDefault="0060228D" w:rsidP="004009FD">
      <w:r>
        <w:separator/>
      </w:r>
    </w:p>
  </w:endnote>
  <w:endnote w:type="continuationSeparator" w:id="0">
    <w:p w:rsidR="0060228D" w:rsidRDefault="0060228D" w:rsidP="00400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28D" w:rsidRDefault="0060228D" w:rsidP="004009FD">
      <w:r>
        <w:separator/>
      </w:r>
    </w:p>
  </w:footnote>
  <w:footnote w:type="continuationSeparator" w:id="0">
    <w:p w:rsidR="0060228D" w:rsidRDefault="0060228D" w:rsidP="004009FD">
      <w:r>
        <w:continuationSeparator/>
      </w:r>
    </w:p>
  </w:footnote>
  <w:footnote w:id="1">
    <w:p w:rsidR="004009FD" w:rsidRPr="004009FD" w:rsidRDefault="004009FD" w:rsidP="004009FD">
      <w:pPr>
        <w:pStyle w:val="FootnoteText"/>
        <w:bidi/>
        <w:rPr>
          <w:sz w:val="24"/>
          <w:szCs w:val="24"/>
          <w:rtl/>
          <w:lang w:bidi="fa-IR"/>
        </w:rPr>
      </w:pPr>
      <w:r w:rsidRPr="004009FD">
        <w:rPr>
          <w:rStyle w:val="FootnoteReference"/>
          <w:sz w:val="24"/>
          <w:szCs w:val="24"/>
        </w:rPr>
        <w:footnoteRef/>
      </w:r>
      <w:r w:rsidRPr="004009FD">
        <w:rPr>
          <w:rFonts w:hint="cs"/>
          <w:sz w:val="24"/>
          <w:szCs w:val="24"/>
          <w:rtl/>
          <w:lang w:bidi="fa-IR"/>
        </w:rPr>
        <w:t xml:space="preserve">. </w:t>
      </w:r>
    </w:p>
    <w:p w:rsidR="004009FD" w:rsidRPr="004009FD" w:rsidRDefault="004009FD" w:rsidP="00B372F3">
      <w:pPr>
        <w:pStyle w:val="FootnoteText"/>
        <w:bidi/>
        <w:rPr>
          <w:rFonts w:hint="cs"/>
          <w:sz w:val="24"/>
          <w:szCs w:val="24"/>
          <w:rtl/>
          <w:lang w:bidi="fa-IR"/>
        </w:rPr>
      </w:pPr>
      <w:r w:rsidRPr="004009FD">
        <w:rPr>
          <w:sz w:val="24"/>
          <w:szCs w:val="24"/>
          <w:rtl/>
          <w:lang w:bidi="fa-IR"/>
        </w:rPr>
        <w:t>الأمر الثالث- في دوران القيد بين الرجوع إلى المادة أو الهيئة</w:t>
      </w:r>
      <w:r w:rsidR="00B372F3">
        <w:rPr>
          <w:rFonts w:hint="cs"/>
          <w:sz w:val="24"/>
          <w:szCs w:val="24"/>
          <w:rtl/>
          <w:lang w:bidi="fa-IR"/>
        </w:rPr>
        <w:t xml:space="preserve">. </w:t>
      </w:r>
      <w:r w:rsidRPr="004009FD">
        <w:rPr>
          <w:sz w:val="24"/>
          <w:szCs w:val="24"/>
          <w:rtl/>
          <w:lang w:bidi="fa-IR"/>
        </w:rPr>
        <w:t>لا إشكال في وجوب تحصيل القيد إذا كان راجعا إلى المادة أي من قيود الواجب، كما لا إشكال في عدم لزوم تحصيله إذا كان راجعا إلى الهيئة أي من قيود الوجوب، فإذا شك في حال قيد هل يرجع إلى الهيئة أو المادة؟ فتارة: يكون دليل التقييد منفصلا، و أخرى</w:t>
      </w:r>
      <w:r w:rsidRPr="004009FD">
        <w:rPr>
          <w:sz w:val="24"/>
          <w:szCs w:val="24"/>
          <w:lang w:bidi="fa-IR"/>
        </w:rPr>
        <w:t>:</w:t>
      </w:r>
      <w:r w:rsidR="00B372F3">
        <w:rPr>
          <w:rFonts w:hint="cs"/>
          <w:sz w:val="24"/>
          <w:szCs w:val="24"/>
          <w:rtl/>
          <w:lang w:bidi="fa-IR"/>
        </w:rPr>
        <w:t xml:space="preserve"> </w:t>
      </w:r>
      <w:r w:rsidRPr="004009FD">
        <w:rPr>
          <w:sz w:val="24"/>
          <w:szCs w:val="24"/>
          <w:rtl/>
          <w:lang w:bidi="fa-IR"/>
        </w:rPr>
        <w:t>يكون متصلا بدليل الأمر. فالبحث في مقامين</w:t>
      </w:r>
      <w:r w:rsidRPr="004009FD">
        <w:rPr>
          <w:sz w:val="24"/>
          <w:szCs w:val="24"/>
          <w:lang w:bidi="fa-IR"/>
        </w:rPr>
        <w:t>.</w:t>
      </w:r>
      <w:r w:rsidR="00B372F3">
        <w:rPr>
          <w:rFonts w:hint="cs"/>
          <w:sz w:val="24"/>
          <w:szCs w:val="24"/>
          <w:rtl/>
          <w:lang w:bidi="fa-IR"/>
        </w:rPr>
        <w:t xml:space="preserve"> </w:t>
      </w:r>
      <w:r w:rsidRPr="004009FD">
        <w:rPr>
          <w:sz w:val="24"/>
          <w:szCs w:val="24"/>
          <w:rtl/>
          <w:lang w:bidi="fa-IR"/>
        </w:rPr>
        <w:t>المقام الأول‏</w:t>
      </w:r>
      <w:r w:rsidR="00B372F3">
        <w:rPr>
          <w:rFonts w:hint="cs"/>
          <w:sz w:val="24"/>
          <w:szCs w:val="24"/>
          <w:rtl/>
          <w:lang w:bidi="fa-IR"/>
        </w:rPr>
        <w:t xml:space="preserve">: </w:t>
      </w:r>
      <w:r w:rsidRPr="004009FD">
        <w:rPr>
          <w:sz w:val="24"/>
          <w:szCs w:val="24"/>
          <w:rtl/>
          <w:lang w:bidi="fa-IR"/>
        </w:rPr>
        <w:t>إذا كان دليل التقييد منفصلا عن دليل الأمر و شك في رجوعه إلى مدلول هيئة الأمر أو مادته. و هنا مقتضى القاعدة الأولية التعارض بين إطلاق المادة و إطلاق الهيئة و التساقط ثم الرجوع إلى الأصول العملية، إلّا انه قد ذكرت عنايات لترجيح إطلاق الهيئة و حفظه عن السقوط، أهمها ثلاثة تقريبات</w:t>
      </w:r>
      <w:r w:rsidRPr="004009FD">
        <w:rPr>
          <w:sz w:val="24"/>
          <w:szCs w:val="24"/>
          <w:lang w:bidi="fa-IR"/>
        </w:rPr>
        <w:t>.</w:t>
      </w:r>
      <w:r w:rsidR="00B372F3">
        <w:rPr>
          <w:rFonts w:hint="cs"/>
          <w:sz w:val="24"/>
          <w:szCs w:val="24"/>
          <w:rtl/>
          <w:lang w:bidi="fa-IR"/>
        </w:rPr>
        <w:t xml:space="preserve"> </w:t>
      </w:r>
      <w:r w:rsidRPr="004009FD">
        <w:rPr>
          <w:sz w:val="24"/>
          <w:szCs w:val="24"/>
          <w:rtl/>
          <w:lang w:bidi="fa-IR"/>
        </w:rPr>
        <w:t>التقريب الأول- تقديم إطلاق الهيئة لكونه شموليا يقتضي توسيع الوجوب لحالة فقدان القيد بخلاف إطلاق المادة الّذي مدلوله صرف الوجود فيكون بدليا، و الإطلاق الشمولي أقوى من البدلي</w:t>
      </w:r>
      <w:r w:rsidRPr="004009FD">
        <w:rPr>
          <w:sz w:val="24"/>
          <w:szCs w:val="24"/>
          <w:lang w:bidi="fa-IR"/>
        </w:rPr>
        <w:t>.</w:t>
      </w:r>
      <w:r w:rsidR="00B372F3">
        <w:rPr>
          <w:rFonts w:hint="cs"/>
          <w:sz w:val="24"/>
          <w:szCs w:val="24"/>
          <w:rtl/>
          <w:lang w:bidi="fa-IR"/>
        </w:rPr>
        <w:t xml:space="preserve"> </w:t>
      </w:r>
      <w:r w:rsidRPr="004009FD">
        <w:rPr>
          <w:sz w:val="24"/>
          <w:szCs w:val="24"/>
          <w:rtl/>
          <w:lang w:bidi="fa-IR"/>
        </w:rPr>
        <w:t>و اعترض عليه المحقق الخراسانيّ (قده) بأنه لا موجب للأقوائية فان كليهما بمقدمات الحكمة. و هذا الاعتراض متجه على هذا التقريب، و قد بسطنا بعض الكلام‏</w:t>
      </w:r>
      <w:r w:rsidR="00B372F3">
        <w:rPr>
          <w:rFonts w:hint="cs"/>
          <w:sz w:val="24"/>
          <w:szCs w:val="24"/>
          <w:rtl/>
          <w:lang w:bidi="fa-IR"/>
        </w:rPr>
        <w:t xml:space="preserve"> </w:t>
      </w:r>
      <w:r w:rsidRPr="004009FD">
        <w:rPr>
          <w:sz w:val="24"/>
          <w:szCs w:val="24"/>
          <w:rtl/>
          <w:lang w:bidi="fa-IR"/>
        </w:rPr>
        <w:t>فيه في بحث المرة و التكرار و قلنا ان البدلية و الشمولية ليستا مدلولين للإطلاق و مقدمات الحكمة، و المعارضة ليست بين البدلية و الشمولية المفادين بدليل عقلي بل بين الإطلاقين اللذين في كل منهما بمعنى واحد</w:t>
      </w:r>
      <w:r w:rsidRPr="004009FD">
        <w:rPr>
          <w:sz w:val="24"/>
          <w:szCs w:val="24"/>
          <w:lang w:bidi="fa-IR"/>
        </w:rPr>
        <w:t>.</w:t>
      </w:r>
      <w:r w:rsidR="00B372F3">
        <w:rPr>
          <w:rFonts w:hint="cs"/>
          <w:sz w:val="24"/>
          <w:szCs w:val="24"/>
          <w:rtl/>
          <w:lang w:bidi="fa-IR"/>
        </w:rPr>
        <w:t xml:space="preserve"> </w:t>
      </w:r>
      <w:r w:rsidRPr="004009FD">
        <w:rPr>
          <w:sz w:val="24"/>
          <w:szCs w:val="24"/>
          <w:rtl/>
          <w:lang w:bidi="fa-IR"/>
        </w:rPr>
        <w:t>التقريب الثاني- دوران الأمر بين مخالفة واحدة أو مخالفتين، لأن تقييد الهيئة يستلزم تقييد المادة إذ لا معنى لإطلاق المادة صدق الواجب من دون الوجوب دون العكس، و بما ان التقييد مخالفة و ضرورة فالعرف في موارد الدوران يرتكب مخالفة واحدة لا مخالفتين</w:t>
      </w:r>
      <w:r w:rsidRPr="004009FD">
        <w:rPr>
          <w:sz w:val="24"/>
          <w:szCs w:val="24"/>
          <w:lang w:bidi="fa-IR"/>
        </w:rPr>
        <w:t>.</w:t>
      </w:r>
      <w:r w:rsidR="00B372F3">
        <w:rPr>
          <w:rFonts w:hint="cs"/>
          <w:sz w:val="24"/>
          <w:szCs w:val="24"/>
          <w:rtl/>
          <w:lang w:bidi="fa-IR"/>
        </w:rPr>
        <w:t xml:space="preserve"> </w:t>
      </w:r>
      <w:r w:rsidRPr="004009FD">
        <w:rPr>
          <w:sz w:val="24"/>
          <w:szCs w:val="24"/>
          <w:rtl/>
          <w:lang w:bidi="fa-IR"/>
        </w:rPr>
        <w:t>و يرد عليه: مضافا إلى بطلان الكبرى، ان تقييد المادة بعد تقييد الهيئة ليس مخالفة، لأنه تقيد و ليس بتقييد بحسب الحقيقة، إذ مادة كل امر مقيدة لبا بكل قيود الوجوب فإذا قيد الوجوب في مورد فقد تحقق صغرى ذلك المقيد اللبي الكلي و ليس تقييدا جديدا في المادة</w:t>
      </w:r>
      <w:r w:rsidRPr="004009FD">
        <w:rPr>
          <w:sz w:val="24"/>
          <w:szCs w:val="24"/>
          <w:lang w:bidi="fa-IR"/>
        </w:rPr>
        <w:t>.</w:t>
      </w:r>
      <w:r w:rsidR="00B372F3">
        <w:rPr>
          <w:rFonts w:hint="cs"/>
          <w:sz w:val="24"/>
          <w:szCs w:val="24"/>
          <w:rtl/>
          <w:lang w:bidi="fa-IR"/>
        </w:rPr>
        <w:t xml:space="preserve"> </w:t>
      </w:r>
      <w:r w:rsidRPr="004009FD">
        <w:rPr>
          <w:sz w:val="24"/>
          <w:szCs w:val="24"/>
          <w:rtl/>
          <w:lang w:bidi="fa-IR"/>
        </w:rPr>
        <w:t>التقريب الثالث- ان التعارض بين الإطلاقين فرع العلم الإجمالي برجوع القيد إلى أحدهما، مع ان هذا العلم الإجمالي منحل إلى العلم التفصيليّ بتقييد المادة و عدم شمولها للحصة الفاقدة- أي الصدقة قبل القيام مثلا- على كل تقدير إمّا تخصيصا أو تخصصا، أي اما لعدم الوجوب أو لعدم كونه الواجب، مع الشك في تقييد الهيئة، فيتمسك فيها بالإطلاق بلا معارض</w:t>
      </w:r>
      <w:r w:rsidRPr="004009FD">
        <w:rPr>
          <w:sz w:val="24"/>
          <w:szCs w:val="24"/>
          <w:lang w:bidi="fa-IR"/>
        </w:rPr>
        <w:t>.</w:t>
      </w:r>
      <w:r w:rsidR="00B372F3">
        <w:rPr>
          <w:rFonts w:hint="cs"/>
          <w:sz w:val="24"/>
          <w:szCs w:val="24"/>
          <w:rtl/>
          <w:lang w:bidi="fa-IR"/>
        </w:rPr>
        <w:t xml:space="preserve"> </w:t>
      </w:r>
      <w:r w:rsidRPr="004009FD">
        <w:rPr>
          <w:sz w:val="24"/>
          <w:szCs w:val="24"/>
          <w:rtl/>
          <w:lang w:bidi="fa-IR"/>
        </w:rPr>
        <w:t>و هذا التقريب انما يتم في بعض الموارد لا جميعها، توضيحه: ان التقييد بقيد يكون بأحد نحوين</w:t>
      </w:r>
      <w:r w:rsidRPr="004009FD">
        <w:rPr>
          <w:sz w:val="24"/>
          <w:szCs w:val="24"/>
          <w:lang w:bidi="fa-IR"/>
        </w:rPr>
        <w:t>.</w:t>
      </w:r>
      <w:r w:rsidR="00B372F3">
        <w:rPr>
          <w:rFonts w:hint="cs"/>
          <w:sz w:val="24"/>
          <w:szCs w:val="24"/>
          <w:rtl/>
          <w:lang w:bidi="fa-IR"/>
        </w:rPr>
        <w:t xml:space="preserve"> </w:t>
      </w:r>
      <w:r w:rsidRPr="004009FD">
        <w:rPr>
          <w:sz w:val="24"/>
          <w:szCs w:val="24"/>
          <w:rtl/>
          <w:lang w:bidi="fa-IR"/>
        </w:rPr>
        <w:t>الأول- ان يكون بحدوثه قيدا للواجب أو الوجوب كالاستطاعة للحج</w:t>
      </w:r>
      <w:r w:rsidRPr="004009FD">
        <w:rPr>
          <w:sz w:val="24"/>
          <w:szCs w:val="24"/>
          <w:lang w:bidi="fa-IR"/>
        </w:rPr>
        <w:t>.</w:t>
      </w:r>
      <w:r w:rsidR="00B372F3">
        <w:rPr>
          <w:rFonts w:hint="cs"/>
          <w:sz w:val="24"/>
          <w:szCs w:val="24"/>
          <w:rtl/>
          <w:lang w:bidi="fa-IR"/>
        </w:rPr>
        <w:t xml:space="preserve"> </w:t>
      </w:r>
      <w:r w:rsidRPr="004009FD">
        <w:rPr>
          <w:sz w:val="24"/>
          <w:szCs w:val="24"/>
          <w:rtl/>
          <w:lang w:bidi="fa-IR"/>
        </w:rPr>
        <w:t>الثاني- ان يكون التقييد بنحو الظرفية أي يشترط حدوثه و بقائه في الوجوب أو الواجب، و هذا يعني بحسب الحقيقة مزيدا من التقييد</w:t>
      </w:r>
      <w:r w:rsidRPr="004009FD">
        <w:rPr>
          <w:sz w:val="24"/>
          <w:szCs w:val="24"/>
          <w:lang w:bidi="fa-IR"/>
        </w:rPr>
        <w:t>.</w:t>
      </w:r>
      <w:r w:rsidR="00B372F3">
        <w:rPr>
          <w:rFonts w:hint="cs"/>
          <w:sz w:val="24"/>
          <w:szCs w:val="24"/>
          <w:rtl/>
          <w:lang w:bidi="fa-IR"/>
        </w:rPr>
        <w:t xml:space="preserve"> </w:t>
      </w:r>
      <w:r w:rsidRPr="004009FD">
        <w:rPr>
          <w:sz w:val="24"/>
          <w:szCs w:val="24"/>
          <w:rtl/>
          <w:lang w:bidi="fa-IR"/>
        </w:rPr>
        <w:t>و حينئذ يقال: تارة يعلم إجمالا بتقييد المادة أو الهيئة على وزان واحد، بان يعلم إجمالا ان حدوث القيام شرط إما في وجوب الصدقة أو في الصدقة الواجبة، أو يعلم ان القيام ظرف للوجوب أو الواجب و في مثل ذلك يتم التقريب المتقدم للانحلال و التمسك بإطلاق الهيئة</w:t>
      </w:r>
      <w:r w:rsidRPr="004009FD">
        <w:rPr>
          <w:sz w:val="24"/>
          <w:szCs w:val="24"/>
          <w:lang w:bidi="fa-IR"/>
        </w:rPr>
        <w:t>.</w:t>
      </w:r>
      <w:r w:rsidR="00B372F3">
        <w:rPr>
          <w:rFonts w:hint="cs"/>
          <w:sz w:val="24"/>
          <w:szCs w:val="24"/>
          <w:rtl/>
          <w:lang w:bidi="fa-IR"/>
        </w:rPr>
        <w:t xml:space="preserve"> </w:t>
      </w:r>
      <w:r w:rsidRPr="004009FD">
        <w:rPr>
          <w:sz w:val="24"/>
          <w:szCs w:val="24"/>
          <w:rtl/>
          <w:lang w:bidi="fa-IR"/>
        </w:rPr>
        <w:t>و أخرى: يعلم إجمالا بتقييد القيام لمدلول الهيئة بنحو الظرفية أو لمدلول المادة بحدوثه، و هنا أيضا يتم تقريب الانحلال للعلم تفصيلا بتقييد المادة بأصل حدوث القيام فلا واجب قبله و يشك في تقييد كل من الهيئة أو المادة بالقيام بنحو الظرفية، فيتمسك بالإطلاق لنفي أصل تقييد الهيئة و تقييد المادة بنحو الظرفية بلا معارض</w:t>
      </w:r>
      <w:r w:rsidRPr="004009FD">
        <w:rPr>
          <w:sz w:val="24"/>
          <w:szCs w:val="24"/>
          <w:lang w:bidi="fa-IR"/>
        </w:rPr>
        <w:t>.</w:t>
      </w:r>
      <w:r w:rsidR="00B372F3">
        <w:rPr>
          <w:rFonts w:hint="cs"/>
          <w:sz w:val="24"/>
          <w:szCs w:val="24"/>
          <w:rtl/>
          <w:lang w:bidi="fa-IR"/>
        </w:rPr>
        <w:t xml:space="preserve"> </w:t>
      </w:r>
      <w:r w:rsidRPr="004009FD">
        <w:rPr>
          <w:sz w:val="24"/>
          <w:szCs w:val="24"/>
          <w:rtl/>
          <w:lang w:bidi="fa-IR"/>
        </w:rPr>
        <w:t>و ثالثة: يعلم إجمالا بتقييد مدلول الهيئة بالقيام حدوثا أو مدلول المادة به حدوثا و بقاء، و هنا لا انحلال إذ لا يلزم من تقييد الهيئة بالقيام حدوثا تقيد المادة به الا حدوثا لا بقاء، فيمكن التمسك بالإطلاق لنفي تقييد المادة به بقاء فيعارض الإطلاق في مدلول الهيئة، حيث يعلم إجمالا بأحد التقييدين بحسب الغرض</w:t>
      </w:r>
      <w:r w:rsidR="0084251A">
        <w:rPr>
          <w:rFonts w:hint="cs"/>
          <w:sz w:val="24"/>
          <w:szCs w:val="24"/>
          <w:rtl/>
          <w:lang w:bidi="fa-IR"/>
        </w:rPr>
        <w:t xml:space="preserve">. </w:t>
      </w:r>
      <w:r w:rsidR="0084251A">
        <w:rPr>
          <w:sz w:val="24"/>
          <w:szCs w:val="24"/>
          <w:rtl/>
          <w:lang w:bidi="fa-IR"/>
        </w:rPr>
        <w:t>بحوث في علم الأصول، ج‏2، ص: 21</w:t>
      </w:r>
      <w:r w:rsidR="0084251A">
        <w:rPr>
          <w:rFonts w:hint="cs"/>
          <w:sz w:val="24"/>
          <w:szCs w:val="24"/>
          <w:rtl/>
          <w:lang w:bidi="fa-IR"/>
        </w:rPr>
        <w:t>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4D0"/>
    <w:rsid w:val="00070E7D"/>
    <w:rsid w:val="000B6F3F"/>
    <w:rsid w:val="0012655D"/>
    <w:rsid w:val="001557EB"/>
    <w:rsid w:val="001646F2"/>
    <w:rsid w:val="00237EAD"/>
    <w:rsid w:val="002740CE"/>
    <w:rsid w:val="0027461B"/>
    <w:rsid w:val="003B5F91"/>
    <w:rsid w:val="004009FD"/>
    <w:rsid w:val="004834D0"/>
    <w:rsid w:val="0060228D"/>
    <w:rsid w:val="006A4C8A"/>
    <w:rsid w:val="00780A8D"/>
    <w:rsid w:val="00827405"/>
    <w:rsid w:val="0084251A"/>
    <w:rsid w:val="00872791"/>
    <w:rsid w:val="00900730"/>
    <w:rsid w:val="00AC31FE"/>
    <w:rsid w:val="00B372F3"/>
    <w:rsid w:val="00BD3FDD"/>
    <w:rsid w:val="00C06482"/>
    <w:rsid w:val="00C076E3"/>
    <w:rsid w:val="00DD2B39"/>
    <w:rsid w:val="00DF1223"/>
    <w:rsid w:val="00E30500"/>
    <w:rsid w:val="00F121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09FD"/>
    <w:rPr>
      <w:sz w:val="20"/>
      <w:szCs w:val="20"/>
    </w:rPr>
  </w:style>
  <w:style w:type="character" w:customStyle="1" w:styleId="FootnoteTextChar">
    <w:name w:val="Footnote Text Char"/>
    <w:basedOn w:val="DefaultParagraphFont"/>
    <w:link w:val="FootnoteText"/>
    <w:uiPriority w:val="99"/>
    <w:semiHidden/>
    <w:rsid w:val="004009FD"/>
    <w:rPr>
      <w:sz w:val="20"/>
      <w:szCs w:val="20"/>
    </w:rPr>
  </w:style>
  <w:style w:type="character" w:styleId="FootnoteReference">
    <w:name w:val="footnote reference"/>
    <w:basedOn w:val="DefaultParagraphFont"/>
    <w:uiPriority w:val="99"/>
    <w:semiHidden/>
    <w:unhideWhenUsed/>
    <w:rsid w:val="004009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09FD"/>
    <w:rPr>
      <w:sz w:val="20"/>
      <w:szCs w:val="20"/>
    </w:rPr>
  </w:style>
  <w:style w:type="character" w:customStyle="1" w:styleId="FootnoteTextChar">
    <w:name w:val="Footnote Text Char"/>
    <w:basedOn w:val="DefaultParagraphFont"/>
    <w:link w:val="FootnoteText"/>
    <w:uiPriority w:val="99"/>
    <w:semiHidden/>
    <w:rsid w:val="004009FD"/>
    <w:rPr>
      <w:sz w:val="20"/>
      <w:szCs w:val="20"/>
    </w:rPr>
  </w:style>
  <w:style w:type="character" w:styleId="FootnoteReference">
    <w:name w:val="footnote reference"/>
    <w:basedOn w:val="DefaultParagraphFont"/>
    <w:uiPriority w:val="99"/>
    <w:semiHidden/>
    <w:unhideWhenUsed/>
    <w:rsid w:val="004009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26</cp:revision>
  <dcterms:created xsi:type="dcterms:W3CDTF">2019-11-13T03:04:00Z</dcterms:created>
  <dcterms:modified xsi:type="dcterms:W3CDTF">2019-11-15T14:57:00Z</dcterms:modified>
</cp:coreProperties>
</file>